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E933A" w14:textId="2A24E545" w:rsidR="00D51D31" w:rsidRPr="00D51D31" w:rsidRDefault="00D51D31" w:rsidP="00D51D31">
      <w:pPr>
        <w:jc w:val="center"/>
        <w:rPr>
          <w:b/>
          <w:bCs/>
          <w:sz w:val="32"/>
          <w:szCs w:val="32"/>
        </w:rPr>
      </w:pPr>
      <w:r w:rsidRPr="00D51D31">
        <w:rPr>
          <w:b/>
          <w:bCs/>
          <w:sz w:val="32"/>
          <w:szCs w:val="32"/>
        </w:rPr>
        <w:t>Title</w:t>
      </w:r>
    </w:p>
    <w:p w14:paraId="647C44D5" w14:textId="27B53DC9" w:rsidR="00D51D31" w:rsidRPr="008F3C7E" w:rsidRDefault="00D51D31" w:rsidP="00D51D31">
      <w:r>
        <w:t>First Author</w:t>
      </w:r>
      <w:r w:rsidRPr="00D51D31">
        <w:rPr>
          <w:vertAlign w:val="superscript"/>
        </w:rPr>
        <w:t>1</w:t>
      </w:r>
      <w:r>
        <w:t>, Second Author</w:t>
      </w:r>
      <w:r w:rsidRPr="00D51D31">
        <w:rPr>
          <w:vertAlign w:val="superscript"/>
        </w:rPr>
        <w:t>2*</w:t>
      </w:r>
      <w:r w:rsidR="008F3C7E">
        <w:t>,</w:t>
      </w:r>
      <w:r>
        <w:t xml:space="preserve"> Third Author</w:t>
      </w:r>
      <w:r w:rsidRPr="00D51D31">
        <w:rPr>
          <w:vertAlign w:val="superscript"/>
        </w:rPr>
        <w:t>1</w:t>
      </w:r>
      <w:r w:rsidR="008F3C7E">
        <w:t xml:space="preserve"> and Group Author</w:t>
      </w:r>
      <w:r w:rsidR="008F3C7E" w:rsidRPr="008F3C7E">
        <w:rPr>
          <w:vertAlign w:val="superscript"/>
        </w:rPr>
        <w:t>3,4</w:t>
      </w:r>
    </w:p>
    <w:p w14:paraId="4BF05108" w14:textId="240D9F7A" w:rsidR="00D51D31" w:rsidRDefault="00D51D31" w:rsidP="00D51D31">
      <w:r w:rsidRPr="00D51D31">
        <w:rPr>
          <w:vertAlign w:val="superscript"/>
        </w:rPr>
        <w:t>1</w:t>
      </w:r>
      <w:r>
        <w:t xml:space="preserve"> </w:t>
      </w:r>
      <w:r w:rsidRPr="00D51D31">
        <w:rPr>
          <w:i/>
          <w:iCs/>
        </w:rPr>
        <w:t>Department, Institute, City Post Code</w:t>
      </w:r>
      <w:r w:rsidR="008F3C7E">
        <w:rPr>
          <w:i/>
          <w:iCs/>
        </w:rPr>
        <w:t>, Country</w:t>
      </w:r>
    </w:p>
    <w:p w14:paraId="5D6187D5" w14:textId="53D52A10" w:rsidR="00D51D31" w:rsidRDefault="00D51D31" w:rsidP="00D51D31">
      <w:pPr>
        <w:rPr>
          <w:i/>
          <w:iCs/>
        </w:rPr>
      </w:pPr>
      <w:r w:rsidRPr="00D51D31">
        <w:rPr>
          <w:vertAlign w:val="superscript"/>
        </w:rPr>
        <w:t>2</w:t>
      </w:r>
      <w:r>
        <w:t xml:space="preserve"> </w:t>
      </w:r>
      <w:r w:rsidRPr="00D51D31">
        <w:rPr>
          <w:i/>
          <w:iCs/>
        </w:rPr>
        <w:t>Department, Institute, City</w:t>
      </w:r>
      <w:r w:rsidR="008F3C7E">
        <w:rPr>
          <w:i/>
          <w:iCs/>
        </w:rPr>
        <w:t>, State</w:t>
      </w:r>
      <w:r w:rsidRPr="00D51D31">
        <w:rPr>
          <w:i/>
          <w:iCs/>
        </w:rPr>
        <w:t xml:space="preserve"> Post Code</w:t>
      </w:r>
      <w:r w:rsidR="008F3C7E">
        <w:rPr>
          <w:i/>
          <w:iCs/>
        </w:rPr>
        <w:t>, Country</w:t>
      </w:r>
    </w:p>
    <w:p w14:paraId="7D61661C" w14:textId="5D185E39" w:rsidR="008F3C7E" w:rsidRDefault="008F3C7E" w:rsidP="00D51D31">
      <w:pPr>
        <w:rPr>
          <w:i/>
          <w:iCs/>
        </w:rPr>
      </w:pPr>
      <w:r w:rsidRPr="008F3C7E">
        <w:rPr>
          <w:i/>
          <w:iCs/>
          <w:vertAlign w:val="superscript"/>
        </w:rPr>
        <w:t>3</w:t>
      </w:r>
      <w:r>
        <w:rPr>
          <w:i/>
          <w:iCs/>
        </w:rPr>
        <w:t xml:space="preserve"> List of author names in the group</w:t>
      </w:r>
    </w:p>
    <w:p w14:paraId="0AE392F1" w14:textId="181B1200" w:rsidR="008F3C7E" w:rsidRDefault="008F3C7E" w:rsidP="00D51D31">
      <w:r w:rsidRPr="008F3C7E">
        <w:rPr>
          <w:i/>
          <w:iCs/>
          <w:vertAlign w:val="superscript"/>
        </w:rPr>
        <w:t>4</w:t>
      </w:r>
      <w:r>
        <w:rPr>
          <w:i/>
          <w:iCs/>
        </w:rPr>
        <w:t xml:space="preserve"> Department, Institute, City Post Code, Country</w:t>
      </w:r>
    </w:p>
    <w:p w14:paraId="6E2CEBB3" w14:textId="000B23D6" w:rsidR="00D51D31" w:rsidRDefault="00D51D31" w:rsidP="00D51D31">
      <w:r>
        <w:t>ORCID ID: FA, 0000-0000-000</w:t>
      </w:r>
      <w:r w:rsidR="00C173A2">
        <w:t>0</w:t>
      </w:r>
      <w:r>
        <w:t>-0000; SA, 0000-0000-000</w:t>
      </w:r>
      <w:r w:rsidR="00C173A2">
        <w:t>0</w:t>
      </w:r>
      <w:r>
        <w:t>-0001; TA, 0000-0000-000</w:t>
      </w:r>
      <w:r w:rsidR="00C173A2">
        <w:t>0</w:t>
      </w:r>
      <w:r>
        <w:t>-0002</w:t>
      </w:r>
    </w:p>
    <w:p w14:paraId="5A1D71C9" w14:textId="1BF02671" w:rsidR="00D51D31" w:rsidRDefault="00D51D31" w:rsidP="00D51D31">
      <w:r>
        <w:t>Present address</w:t>
      </w:r>
      <w:r w:rsidR="001045DE">
        <w:t>es</w:t>
      </w:r>
      <w:r>
        <w:t>: FA, Department, Institute, City Post Code</w:t>
      </w:r>
      <w:r w:rsidR="003A74E2">
        <w:t>, Country</w:t>
      </w:r>
    </w:p>
    <w:p w14:paraId="598CC3A7" w14:textId="501590E5" w:rsidR="00D51D31" w:rsidRDefault="00D51D31" w:rsidP="00D51D31">
      <w:r>
        <w:t xml:space="preserve">*Corresponding author (e-mail: </w:t>
      </w:r>
      <w:hyperlink r:id="rId5" w:history="1">
        <w:r w:rsidRPr="009867F7">
          <w:rPr>
            <w:rStyle w:val="Hyperlink"/>
          </w:rPr>
          <w:t>second.author@university.com</w:t>
        </w:r>
      </w:hyperlink>
      <w:r>
        <w:t>)</w:t>
      </w:r>
    </w:p>
    <w:p w14:paraId="4D00409A" w14:textId="2BF354BD" w:rsidR="00D51D31" w:rsidRDefault="00D51D31" w:rsidP="00D51D31">
      <w:r w:rsidRPr="00D51D31">
        <w:rPr>
          <w:b/>
          <w:bCs/>
        </w:rPr>
        <w:t>Abstract:</w:t>
      </w:r>
      <w:r>
        <w:t xml:space="preserve"> Please limit the abstract to 200 words.</w:t>
      </w:r>
      <w:r w:rsidR="003A74E2">
        <w:t xml:space="preserve"> Abstracts can have multiple paragraphs.</w:t>
      </w:r>
    </w:p>
    <w:p w14:paraId="77CADEAC" w14:textId="11F382DE" w:rsidR="00D51D31" w:rsidRDefault="00D51D31" w:rsidP="00D51D31">
      <w:pPr>
        <w:rPr>
          <w:color w:val="C00000"/>
        </w:rPr>
      </w:pPr>
      <w:r w:rsidRPr="00D51D31">
        <w:rPr>
          <w:b/>
          <w:bCs/>
        </w:rPr>
        <w:t>Supplementary material:</w:t>
      </w:r>
      <w:r w:rsidRPr="00D51D31">
        <w:t xml:space="preserve"> [description of material] is available at https://doi.org/xxxx. </w:t>
      </w:r>
      <w:r w:rsidRPr="00D51D31">
        <w:rPr>
          <w:color w:val="C00000"/>
        </w:rPr>
        <w:t xml:space="preserve">[If your supplementary material is not yet </w:t>
      </w:r>
      <w:r w:rsidR="008F3C7E" w:rsidRPr="00D51D31">
        <w:rPr>
          <w:color w:val="C00000"/>
        </w:rPr>
        <w:t>publicly</w:t>
      </w:r>
      <w:r w:rsidRPr="00D51D31">
        <w:rPr>
          <w:color w:val="C00000"/>
        </w:rPr>
        <w:t xml:space="preserve"> available, leave the url blank and GSL will deposit any supplementary material to our </w:t>
      </w:r>
      <w:r w:rsidR="006F57FF">
        <w:rPr>
          <w:color w:val="C00000"/>
        </w:rPr>
        <w:t>F</w:t>
      </w:r>
      <w:r w:rsidRPr="00D51D31">
        <w:rPr>
          <w:color w:val="C00000"/>
        </w:rPr>
        <w:t xml:space="preserve">igshare site when the submission is accepted.] </w:t>
      </w:r>
    </w:p>
    <w:p w14:paraId="23BCB262" w14:textId="19142642" w:rsidR="00D51D31" w:rsidRDefault="00D51D31" w:rsidP="00D51D31">
      <w:pPr>
        <w:rPr>
          <w:color w:val="C00000"/>
        </w:rPr>
      </w:pPr>
    </w:p>
    <w:p w14:paraId="350C5E7C" w14:textId="369190D7" w:rsidR="00D51D31" w:rsidRDefault="00D51D31" w:rsidP="00D51D31">
      <w:pPr>
        <w:rPr>
          <w:color w:val="C00000"/>
        </w:rPr>
      </w:pPr>
    </w:p>
    <w:p w14:paraId="4BEC3088" w14:textId="1D60DBB2" w:rsidR="00F6531A" w:rsidRDefault="003D41AD" w:rsidP="00D51D31">
      <w:r>
        <w:t xml:space="preserve">The font style and size </w:t>
      </w:r>
      <w:r w:rsidR="00E7251A">
        <w:t>are</w:t>
      </w:r>
      <w:r>
        <w:t xml:space="preserve"> not important. Full instructions for presentation and style can be found at: </w:t>
      </w:r>
      <w:hyperlink r:id="rId6" w:history="1">
        <w:r w:rsidRPr="009867F7">
          <w:rPr>
            <w:rStyle w:val="Hyperlink"/>
          </w:rPr>
          <w:t>http://www.geolsoc.org.uk/author_instructions</w:t>
        </w:r>
      </w:hyperlink>
      <w:r>
        <w:t xml:space="preserve">. </w:t>
      </w:r>
      <w:r w:rsidR="00F6531A">
        <w:t xml:space="preserve">The first paragraph of the main text, following the abstract, should not have a heading, i.e. do not use ‘Introduction’ or other such headings. It can be taken for granted that such material is introductory. </w:t>
      </w:r>
    </w:p>
    <w:p w14:paraId="0C200BDD" w14:textId="59DF6B35" w:rsidR="008F3C7E" w:rsidRPr="008F3C7E" w:rsidRDefault="008F3C7E" w:rsidP="00D51D31">
      <w:pPr>
        <w:rPr>
          <w:b/>
          <w:bCs/>
          <w:sz w:val="24"/>
          <w:szCs w:val="24"/>
        </w:rPr>
      </w:pPr>
      <w:r w:rsidRPr="008F3C7E">
        <w:rPr>
          <w:b/>
          <w:bCs/>
          <w:sz w:val="24"/>
          <w:szCs w:val="24"/>
        </w:rPr>
        <w:t xml:space="preserve">Section Heading </w:t>
      </w:r>
      <w:r w:rsidR="001045DE">
        <w:rPr>
          <w:b/>
          <w:bCs/>
          <w:sz w:val="24"/>
          <w:szCs w:val="24"/>
        </w:rPr>
        <w:t>A</w:t>
      </w:r>
    </w:p>
    <w:p w14:paraId="3CBDF7A0" w14:textId="1F63B5E9" w:rsidR="00DD55F5" w:rsidRDefault="008F3C7E" w:rsidP="00DD55F5">
      <w:r>
        <w:t xml:space="preserve">Text following a level </w:t>
      </w:r>
      <w:r w:rsidR="001045DE">
        <w:t>A</w:t>
      </w:r>
      <w:r>
        <w:t xml:space="preserve"> heading is a new paragraph with no indentation</w:t>
      </w:r>
      <w:r w:rsidR="00DD55F5">
        <w:t xml:space="preserve">. </w:t>
      </w:r>
      <w:r w:rsidR="003D41AD">
        <w:t>This is used for major sections of the papers, such as methods, results, discussion and conclusion.</w:t>
      </w:r>
    </w:p>
    <w:p w14:paraId="5E3F4756" w14:textId="7766CDCD" w:rsidR="003D41AD" w:rsidRDefault="00E20120" w:rsidP="00D51D31">
      <w:r w:rsidRPr="00E20120">
        <w:rPr>
          <w:b/>
          <w:bCs/>
        </w:rPr>
        <w:t xml:space="preserve">Heading </w:t>
      </w:r>
      <w:r w:rsidR="001045DE">
        <w:rPr>
          <w:b/>
          <w:bCs/>
        </w:rPr>
        <w:t>B</w:t>
      </w:r>
    </w:p>
    <w:p w14:paraId="63F42A79" w14:textId="3D4E7A5C" w:rsidR="008F3C7E" w:rsidRDefault="003D41AD" w:rsidP="00D51D31">
      <w:r>
        <w:t xml:space="preserve">Text following a level </w:t>
      </w:r>
      <w:r w:rsidR="001045DE">
        <w:t>B</w:t>
      </w:r>
      <w:r>
        <w:t xml:space="preserve"> heading is a new paragraph with no indentation.</w:t>
      </w:r>
    </w:p>
    <w:p w14:paraId="48E32557" w14:textId="271392E9" w:rsidR="008F3C7E" w:rsidRPr="001045DE" w:rsidRDefault="008F3C7E" w:rsidP="00D51D31">
      <w:pPr>
        <w:rPr>
          <w:i/>
          <w:iCs/>
        </w:rPr>
      </w:pPr>
      <w:r w:rsidRPr="008F3C7E">
        <w:rPr>
          <w:i/>
          <w:iCs/>
        </w:rPr>
        <w:t xml:space="preserve">Subsection heading </w:t>
      </w:r>
      <w:r w:rsidR="001045DE">
        <w:rPr>
          <w:i/>
          <w:iCs/>
        </w:rPr>
        <w:t xml:space="preserve">C. </w:t>
      </w:r>
      <w:r>
        <w:t xml:space="preserve">Text following a level </w:t>
      </w:r>
      <w:r w:rsidR="001045DE">
        <w:t>C</w:t>
      </w:r>
      <w:r>
        <w:t xml:space="preserve"> heading is </w:t>
      </w:r>
      <w:r w:rsidR="001045DE">
        <w:t>run-on with the heading</w:t>
      </w:r>
      <w:r w:rsidR="003D41AD">
        <w:t>.</w:t>
      </w:r>
    </w:p>
    <w:p w14:paraId="62908CEB" w14:textId="74BDDA58" w:rsidR="008F3C7E" w:rsidRDefault="008F3C7E" w:rsidP="001045DE">
      <w:pPr>
        <w:ind w:left="720"/>
      </w:pPr>
      <w:r w:rsidRPr="003D41AD">
        <w:rPr>
          <w:i/>
          <w:iCs/>
        </w:rPr>
        <w:t xml:space="preserve">Subsection heading </w:t>
      </w:r>
      <w:r w:rsidR="001045DE">
        <w:rPr>
          <w:i/>
          <w:iCs/>
        </w:rPr>
        <w:t>D</w:t>
      </w:r>
      <w:r>
        <w:rPr>
          <w:b/>
          <w:bCs/>
        </w:rPr>
        <w:t>.</w:t>
      </w:r>
      <w:r>
        <w:t xml:space="preserve"> </w:t>
      </w:r>
      <w:r w:rsidR="00E7251A">
        <w:t>L</w:t>
      </w:r>
      <w:r w:rsidR="001045DE">
        <w:t>evel D heading</w:t>
      </w:r>
      <w:r w:rsidR="00E7251A">
        <w:t>s</w:t>
      </w:r>
      <w:r w:rsidR="001045DE">
        <w:t xml:space="preserve"> </w:t>
      </w:r>
      <w:r w:rsidR="00E7251A">
        <w:t>are</w:t>
      </w:r>
      <w:bookmarkStart w:id="0" w:name="_GoBack"/>
      <w:bookmarkEnd w:id="0"/>
      <w:r w:rsidR="001045DE">
        <w:t xml:space="preserve"> indented from the text. </w:t>
      </w:r>
      <w:r>
        <w:t xml:space="preserve">Text following a </w:t>
      </w:r>
      <w:r w:rsidR="001045DE">
        <w:t>level</w:t>
      </w:r>
      <w:r>
        <w:t xml:space="preserve"> </w:t>
      </w:r>
      <w:r w:rsidR="001045DE">
        <w:t>D</w:t>
      </w:r>
      <w:r>
        <w:t xml:space="preserve"> heading is run-on </w:t>
      </w:r>
      <w:r w:rsidR="001045DE">
        <w:t xml:space="preserve">from the heading.  </w:t>
      </w:r>
    </w:p>
    <w:p w14:paraId="1B371614" w14:textId="77777777" w:rsidR="001045DE" w:rsidRDefault="001045DE" w:rsidP="001045DE">
      <w:pPr>
        <w:ind w:left="720"/>
      </w:pPr>
    </w:p>
    <w:p w14:paraId="78F5C0C8" w14:textId="39F23AF3" w:rsidR="003A74E2" w:rsidRPr="003D41AD" w:rsidRDefault="003A74E2" w:rsidP="003A74E2">
      <w:pPr>
        <w:rPr>
          <w:b/>
          <w:bCs/>
        </w:rPr>
      </w:pPr>
      <w:r w:rsidRPr="003D41AD">
        <w:rPr>
          <w:b/>
          <w:bCs/>
        </w:rPr>
        <w:lastRenderedPageBreak/>
        <w:t>List style</w:t>
      </w:r>
    </w:p>
    <w:p w14:paraId="1CCC5E83" w14:textId="3BC95F8C" w:rsidR="003A74E2" w:rsidRPr="003A74E2" w:rsidRDefault="003A74E2" w:rsidP="003A74E2">
      <w:r>
        <w:t>GSL publications allow authors to present lists in a number of different ways: (1) Shorter lists can be run on within a paragraph or (2) for greater impact the author can have a list offset from the paragraph.  (3) Longer lists</w:t>
      </w:r>
      <w:r w:rsidRPr="003A74E2">
        <w:t xml:space="preserve"> </w:t>
      </w:r>
      <w:r>
        <w:t>should have each item displayed in a separate paragraph. (4) Numbers, letters or bullet points can be used to separate sections in a list. For lists made up of incomplete sentences:</w:t>
      </w:r>
    </w:p>
    <w:p w14:paraId="06F1BDE2" w14:textId="1918CDE2" w:rsidR="003A74E2" w:rsidRDefault="003A74E2" w:rsidP="003A74E2">
      <w:pPr>
        <w:pStyle w:val="ListParagraph"/>
        <w:numPr>
          <w:ilvl w:val="0"/>
          <w:numId w:val="3"/>
        </w:numPr>
      </w:pPr>
      <w:r>
        <w:t xml:space="preserve">they should begin with a </w:t>
      </w:r>
      <w:r w:rsidR="001045DE">
        <w:t>lower case letter</w:t>
      </w:r>
      <w:r>
        <w:t>;</w:t>
      </w:r>
    </w:p>
    <w:p w14:paraId="030E3915" w14:textId="30BB969B" w:rsidR="003A74E2" w:rsidRDefault="003A74E2" w:rsidP="003A74E2">
      <w:pPr>
        <w:pStyle w:val="ListParagraph"/>
        <w:numPr>
          <w:ilvl w:val="0"/>
          <w:numId w:val="3"/>
        </w:numPr>
      </w:pPr>
      <w:r>
        <w:t>each item in the list should be only one phrase;</w:t>
      </w:r>
    </w:p>
    <w:p w14:paraId="25C5B108" w14:textId="54D24276" w:rsidR="003A74E2" w:rsidRDefault="003A74E2" w:rsidP="003A74E2">
      <w:pPr>
        <w:pStyle w:val="ListParagraph"/>
        <w:numPr>
          <w:ilvl w:val="0"/>
          <w:numId w:val="3"/>
        </w:numPr>
      </w:pPr>
      <w:r>
        <w:t>the items should be numbered or lettered;</w:t>
      </w:r>
    </w:p>
    <w:p w14:paraId="382B8944" w14:textId="7E5E59AC" w:rsidR="003A74E2" w:rsidRDefault="003A74E2" w:rsidP="003A74E2">
      <w:pPr>
        <w:pStyle w:val="ListParagraph"/>
        <w:numPr>
          <w:ilvl w:val="0"/>
          <w:numId w:val="3"/>
        </w:numPr>
      </w:pPr>
      <w:r>
        <w:t>the number/letter should be enclosed in parentheses;</w:t>
      </w:r>
    </w:p>
    <w:p w14:paraId="07D6FA7A" w14:textId="265FC786" w:rsidR="003A74E2" w:rsidRDefault="003A74E2" w:rsidP="003A74E2">
      <w:pPr>
        <w:pStyle w:val="ListParagraph"/>
        <w:numPr>
          <w:ilvl w:val="0"/>
          <w:numId w:val="3"/>
        </w:numPr>
      </w:pPr>
      <w:r>
        <w:t>the phrases should end with a semi-colon;</w:t>
      </w:r>
    </w:p>
    <w:p w14:paraId="437615C7" w14:textId="494941A3" w:rsidR="001045DE" w:rsidRDefault="001045DE" w:rsidP="003A74E2">
      <w:pPr>
        <w:pStyle w:val="ListParagraph"/>
        <w:numPr>
          <w:ilvl w:val="0"/>
          <w:numId w:val="3"/>
        </w:numPr>
      </w:pPr>
      <w:r>
        <w:t>except for the last item, which ends in a full point.</w:t>
      </w:r>
    </w:p>
    <w:p w14:paraId="5F1A442E" w14:textId="77777777" w:rsidR="003A74E2" w:rsidRDefault="003A74E2" w:rsidP="003A74E2">
      <w:pPr>
        <w:pStyle w:val="ListParagraph"/>
      </w:pPr>
    </w:p>
    <w:p w14:paraId="763A0173" w14:textId="2D01CFF1" w:rsidR="003A74E2" w:rsidRPr="003D41AD" w:rsidRDefault="003A74E2" w:rsidP="003A74E2">
      <w:pPr>
        <w:rPr>
          <w:b/>
          <w:bCs/>
        </w:rPr>
      </w:pPr>
      <w:r w:rsidRPr="003D41AD">
        <w:rPr>
          <w:b/>
          <w:bCs/>
        </w:rPr>
        <w:t>Maths</w:t>
      </w:r>
    </w:p>
    <w:p w14:paraId="399321A0" w14:textId="71B9EDB9" w:rsidR="003A74E2" w:rsidRDefault="00F6531A" w:rsidP="003A74E2">
      <w:r>
        <w:t xml:space="preserve">Mathematical and chemical expressions should be numbered sequentially with the number in parentheses flush with the right margin. Equations are normally centred. Equations should be provided in an editable format and not as a picture. </w:t>
      </w:r>
      <w:r w:rsidR="001045DE" w:rsidRPr="001045DE">
        <w:t xml:space="preserve"> </w:t>
      </w:r>
      <w:r w:rsidR="001045DE">
        <w:t>Please use italic for variables but roman for variable modifiers (i.e. the subscript letter explaining the variable).</w:t>
      </w:r>
    </w:p>
    <w:p w14:paraId="3C730E51" w14:textId="7CDD0BDC" w:rsidR="001045DE" w:rsidRDefault="00E7251A" w:rsidP="001045DE">
      <w:pPr>
        <w:jc w:val="right"/>
      </w:pPr>
      <m:oMath>
        <m:sSub>
          <m:sSubPr>
            <m:ctrlPr>
              <w:rPr>
                <w:rFonts w:ascii="Cambria Math" w:hAnsi="Cambria Math"/>
                <w:i/>
                <w:noProof/>
                <w:sz w:val="24"/>
                <w:szCs w:val="24"/>
              </w:rPr>
            </m:ctrlPr>
          </m:sSubPr>
          <m:e>
            <m:d>
              <m:dPr>
                <m:ctrlPr>
                  <w:rPr>
                    <w:rFonts w:ascii="Cambria Math" w:hAnsi="Cambria Math"/>
                    <w:i/>
                    <w:noProof/>
                    <w:sz w:val="24"/>
                    <w:szCs w:val="24"/>
                  </w:rPr>
                </m:ctrlPr>
              </m:dPr>
              <m:e>
                <m:sSub>
                  <m:sSubPr>
                    <m:ctrlPr>
                      <w:rPr>
                        <w:rFonts w:ascii="Cambria Math" w:hAnsi="Cambria Math"/>
                        <w:i/>
                        <w:noProof/>
                        <w:sz w:val="24"/>
                        <w:szCs w:val="24"/>
                      </w:rPr>
                    </m:ctrlPr>
                  </m:sSubPr>
                  <m:e>
                    <m:r>
                      <w:rPr>
                        <w:rFonts w:ascii="Cambria Math"/>
                        <w:noProof/>
                        <w:sz w:val="24"/>
                        <w:szCs w:val="24"/>
                      </w:rPr>
                      <m:t>N</m:t>
                    </m:r>
                  </m:e>
                  <m:sub>
                    <m:r>
                      <w:rPr>
                        <w:rFonts w:ascii="Cambria Math"/>
                        <w:noProof/>
                        <w:sz w:val="24"/>
                        <w:szCs w:val="24"/>
                      </w:rPr>
                      <m:t>1</m:t>
                    </m:r>
                  </m:sub>
                </m:sSub>
              </m:e>
            </m:d>
          </m:e>
          <m:sub>
            <m:r>
              <w:rPr>
                <w:rFonts w:ascii="Cambria Math"/>
                <w:noProof/>
                <w:sz w:val="24"/>
                <w:szCs w:val="24"/>
              </w:rPr>
              <m:t>60</m:t>
            </m:r>
          </m:sub>
        </m:sSub>
        <m:r>
          <w:rPr>
            <w:rFonts w:ascii="Cambria Math"/>
            <w:noProof/>
            <w:sz w:val="24"/>
            <w:szCs w:val="24"/>
          </w:rPr>
          <m:t>=</m:t>
        </m:r>
        <m:sSub>
          <m:sSubPr>
            <m:ctrlPr>
              <w:rPr>
                <w:rFonts w:ascii="Cambria Math" w:hAnsi="Cambria Math"/>
                <w:i/>
                <w:noProof/>
                <w:sz w:val="24"/>
                <w:szCs w:val="24"/>
              </w:rPr>
            </m:ctrlPr>
          </m:sSubPr>
          <m:e>
            <m:r>
              <w:rPr>
                <w:rFonts w:ascii="Cambria Math"/>
                <w:noProof/>
                <w:sz w:val="24"/>
                <w:szCs w:val="24"/>
              </w:rPr>
              <m:t>N</m:t>
            </m:r>
          </m:e>
          <m:sub>
            <m:r>
              <w:rPr>
                <w:rFonts w:ascii="Cambria Math"/>
                <w:noProof/>
                <w:sz w:val="24"/>
                <w:szCs w:val="24"/>
              </w:rPr>
              <m:t>m</m:t>
            </m:r>
          </m:sub>
        </m:sSub>
        <m:sSub>
          <m:sSubPr>
            <m:ctrlPr>
              <w:rPr>
                <w:rFonts w:ascii="Cambria Math" w:hAnsi="Cambria Math"/>
                <w:i/>
                <w:noProof/>
                <w:sz w:val="24"/>
                <w:szCs w:val="24"/>
              </w:rPr>
            </m:ctrlPr>
          </m:sSubPr>
          <m:e>
            <m:r>
              <w:rPr>
                <w:rFonts w:ascii="Cambria Math"/>
                <w:noProof/>
                <w:sz w:val="24"/>
                <w:szCs w:val="24"/>
              </w:rPr>
              <m:t>C</m:t>
            </m:r>
          </m:e>
          <m:sub>
            <m:r>
              <w:rPr>
                <w:rFonts w:ascii="Cambria Math"/>
                <w:noProof/>
                <w:sz w:val="24"/>
                <w:szCs w:val="24"/>
              </w:rPr>
              <m:t>N</m:t>
            </m:r>
          </m:sub>
        </m:sSub>
        <m:r>
          <w:rPr>
            <w:rFonts w:ascii="Cambria Math"/>
            <w:noProof/>
            <w:sz w:val="24"/>
            <w:szCs w:val="24"/>
          </w:rPr>
          <m:t>E</m:t>
        </m:r>
        <m:sSub>
          <m:sSubPr>
            <m:ctrlPr>
              <w:rPr>
                <w:rFonts w:ascii="Cambria Math" w:hAnsi="Cambria Math"/>
                <w:i/>
                <w:noProof/>
                <w:sz w:val="24"/>
                <w:szCs w:val="24"/>
              </w:rPr>
            </m:ctrlPr>
          </m:sSubPr>
          <m:e>
            <m:r>
              <w:rPr>
                <w:rFonts w:ascii="Cambria Math"/>
                <w:noProof/>
                <w:sz w:val="24"/>
                <w:szCs w:val="24"/>
              </w:rPr>
              <m:t>R</m:t>
            </m:r>
          </m:e>
          <m:sub>
            <m:r>
              <w:rPr>
                <w:rFonts w:ascii="Cambria Math"/>
                <w:noProof/>
                <w:sz w:val="24"/>
                <w:szCs w:val="24"/>
              </w:rPr>
              <m:t>m</m:t>
            </m:r>
          </m:sub>
        </m:sSub>
        <m:r>
          <w:rPr>
            <w:rFonts w:ascii="Cambria Math"/>
            <w:noProof/>
            <w:sz w:val="24"/>
            <w:szCs w:val="24"/>
          </w:rPr>
          <m:t>/60</m:t>
        </m:r>
      </m:oMath>
      <w:r w:rsidR="003D41AD">
        <w:rPr>
          <w:noProof/>
          <w:sz w:val="24"/>
          <w:szCs w:val="24"/>
        </w:rPr>
        <w:tab/>
      </w:r>
      <w:r w:rsidR="003D41AD">
        <w:rPr>
          <w:noProof/>
          <w:sz w:val="24"/>
          <w:szCs w:val="24"/>
        </w:rPr>
        <w:tab/>
      </w:r>
      <w:r w:rsidR="003D41AD">
        <w:rPr>
          <w:noProof/>
          <w:sz w:val="24"/>
          <w:szCs w:val="24"/>
        </w:rPr>
        <w:tab/>
      </w:r>
      <w:r w:rsidR="003D41AD">
        <w:rPr>
          <w:noProof/>
          <w:sz w:val="24"/>
          <w:szCs w:val="24"/>
        </w:rPr>
        <w:tab/>
      </w:r>
      <w:r w:rsidR="003D41AD" w:rsidRPr="00687680">
        <w:rPr>
          <w:sz w:val="24"/>
          <w:szCs w:val="24"/>
        </w:rPr>
        <w:tab/>
      </w:r>
      <w:r w:rsidR="003D41AD" w:rsidRPr="00176771">
        <w:rPr>
          <w:sz w:val="24"/>
          <w:szCs w:val="24"/>
        </w:rPr>
        <w:t>(</w:t>
      </w:r>
      <w:r w:rsidR="003D41AD">
        <w:rPr>
          <w:sz w:val="24"/>
          <w:szCs w:val="24"/>
        </w:rPr>
        <w:t>1</w:t>
      </w:r>
      <w:r w:rsidR="003D41AD" w:rsidRPr="00176771">
        <w:rPr>
          <w:sz w:val="24"/>
          <w:szCs w:val="24"/>
        </w:rPr>
        <w:t>)</w:t>
      </w:r>
    </w:p>
    <w:p w14:paraId="490EC8D0" w14:textId="77777777" w:rsidR="001045DE" w:rsidRDefault="001045DE" w:rsidP="003A74E2"/>
    <w:p w14:paraId="1FFEB414" w14:textId="2681498B" w:rsidR="00F6531A" w:rsidRPr="003D41AD" w:rsidRDefault="00F6531A" w:rsidP="003A74E2">
      <w:pPr>
        <w:rPr>
          <w:b/>
          <w:bCs/>
          <w:sz w:val="24"/>
          <w:szCs w:val="24"/>
        </w:rPr>
      </w:pPr>
      <w:r w:rsidRPr="003D41AD">
        <w:rPr>
          <w:b/>
          <w:bCs/>
          <w:sz w:val="24"/>
          <w:szCs w:val="24"/>
        </w:rPr>
        <w:t>Acknowledgements</w:t>
      </w:r>
    </w:p>
    <w:p w14:paraId="7E8A9B54" w14:textId="6BA2C2B2" w:rsidR="003D41AD" w:rsidRDefault="00F6531A" w:rsidP="003A74E2">
      <w:r w:rsidRPr="003D41AD">
        <w:rPr>
          <w:b/>
          <w:bCs/>
          <w:sz w:val="24"/>
          <w:szCs w:val="24"/>
        </w:rPr>
        <w:t>Author contributions</w:t>
      </w:r>
    </w:p>
    <w:p w14:paraId="3D3065C7" w14:textId="3C575CA9" w:rsidR="00F6531A" w:rsidRDefault="00F6531A" w:rsidP="003A74E2">
      <w:r>
        <w:t>This is generated from information entered during submission following the CREDIT taxonomy</w:t>
      </w:r>
    </w:p>
    <w:p w14:paraId="52B72AA0" w14:textId="71361ED6" w:rsidR="00F6531A" w:rsidRDefault="00F6531A" w:rsidP="003A74E2">
      <w:pPr>
        <w:rPr>
          <w:b/>
          <w:bCs/>
          <w:sz w:val="24"/>
          <w:szCs w:val="24"/>
        </w:rPr>
      </w:pPr>
      <w:r w:rsidRPr="003D41AD">
        <w:rPr>
          <w:b/>
          <w:bCs/>
          <w:sz w:val="24"/>
          <w:szCs w:val="24"/>
        </w:rPr>
        <w:t>Funding</w:t>
      </w:r>
    </w:p>
    <w:p w14:paraId="4449FA92" w14:textId="5C5F80F8" w:rsidR="003D41AD" w:rsidRPr="003D41AD" w:rsidRDefault="001045DE" w:rsidP="003A74E2">
      <w:r>
        <w:t xml:space="preserve">If you supply funding information within the submission system but no actual text within a Funding-headed section on your paper, we will populate this section with the information you put into the submission system. </w:t>
      </w:r>
      <w:r w:rsidR="003D41AD" w:rsidRPr="003D41AD">
        <w:t>If no funding was used for the research, the following statement will be added to this section: This research received no specific grant from any funding agency in the public, commercial, or not-for-profit sectors.</w:t>
      </w:r>
      <w:r>
        <w:t xml:space="preserve"> </w:t>
      </w:r>
    </w:p>
    <w:p w14:paraId="5D7E6718" w14:textId="3673DBE6" w:rsidR="003D41AD" w:rsidRPr="003D41AD" w:rsidRDefault="00F6531A" w:rsidP="003A74E2">
      <w:pPr>
        <w:rPr>
          <w:sz w:val="24"/>
          <w:szCs w:val="24"/>
        </w:rPr>
      </w:pPr>
      <w:r w:rsidRPr="003D41AD">
        <w:rPr>
          <w:b/>
          <w:bCs/>
          <w:sz w:val="24"/>
          <w:szCs w:val="24"/>
        </w:rPr>
        <w:t>Data availability</w:t>
      </w:r>
    </w:p>
    <w:p w14:paraId="7A1C473B" w14:textId="4D7C8D50" w:rsidR="00F6531A" w:rsidRDefault="00F6531A" w:rsidP="003A74E2">
      <w:r>
        <w:t>Authors are asked to provide a statement as part of the submission process. This statement will be added during the proof stage.</w:t>
      </w:r>
    </w:p>
    <w:p w14:paraId="3E460D34" w14:textId="77777777" w:rsidR="001045DE" w:rsidRDefault="001045DE" w:rsidP="003A74E2"/>
    <w:p w14:paraId="1941168F" w14:textId="3D824D82" w:rsidR="00F6531A" w:rsidRPr="003D41AD" w:rsidRDefault="00F6531A" w:rsidP="003A74E2">
      <w:pPr>
        <w:rPr>
          <w:b/>
          <w:bCs/>
          <w:sz w:val="24"/>
          <w:szCs w:val="24"/>
        </w:rPr>
      </w:pPr>
      <w:r w:rsidRPr="003D41AD">
        <w:rPr>
          <w:b/>
          <w:bCs/>
          <w:sz w:val="24"/>
          <w:szCs w:val="24"/>
        </w:rPr>
        <w:lastRenderedPageBreak/>
        <w:t>References</w:t>
      </w:r>
    </w:p>
    <w:p w14:paraId="24ABCEB0" w14:textId="6F48A37F" w:rsidR="00DD55F5" w:rsidRDefault="00DD55F5" w:rsidP="003A74E2">
      <w:pPr>
        <w:rPr>
          <w:color w:val="000000"/>
          <w:sz w:val="20"/>
          <w:szCs w:val="20"/>
        </w:rPr>
      </w:pPr>
      <w:r w:rsidRPr="00DD55F5">
        <w:rPr>
          <w:color w:val="000000"/>
          <w:sz w:val="20"/>
          <w:szCs w:val="20"/>
        </w:rPr>
        <w:t xml:space="preserve">Deegan, C.E. and Scull, B.J. 1977. </w:t>
      </w:r>
      <w:r w:rsidRPr="00DD55F5">
        <w:rPr>
          <w:i/>
          <w:iCs/>
          <w:color w:val="000000"/>
          <w:sz w:val="20"/>
          <w:szCs w:val="20"/>
        </w:rPr>
        <w:t>A Standard Lithostratigraphic Nomenclature for the Central and Northern North Sea.</w:t>
      </w:r>
      <w:r w:rsidRPr="00DD55F5">
        <w:rPr>
          <w:color w:val="000000"/>
          <w:sz w:val="20"/>
          <w:szCs w:val="20"/>
        </w:rPr>
        <w:t xml:space="preserve"> Institute of Geological Sciences Report </w:t>
      </w:r>
      <w:r w:rsidRPr="00DD55F5">
        <w:rPr>
          <w:b/>
          <w:bCs/>
          <w:color w:val="000000"/>
          <w:sz w:val="20"/>
          <w:szCs w:val="20"/>
        </w:rPr>
        <w:t>77/25</w:t>
      </w:r>
      <w:r w:rsidRPr="00DD55F5">
        <w:rPr>
          <w:color w:val="000000"/>
          <w:sz w:val="20"/>
          <w:szCs w:val="20"/>
        </w:rPr>
        <w:t>.</w:t>
      </w:r>
    </w:p>
    <w:p w14:paraId="49D81CDF" w14:textId="783F04E5" w:rsidR="00DD55F5" w:rsidRDefault="00DD55F5" w:rsidP="003A74E2">
      <w:pPr>
        <w:rPr>
          <w:smallCaps/>
          <w:color w:val="000000"/>
          <w:sz w:val="20"/>
          <w:szCs w:val="20"/>
        </w:rPr>
      </w:pPr>
      <w:r>
        <w:rPr>
          <w:color w:val="000000"/>
          <w:sz w:val="20"/>
          <w:szCs w:val="20"/>
        </w:rPr>
        <w:t xml:space="preserve">Hall, R. and Smyth, H.R. 2008. Cenozoic arc activity in Indonesia: identification of the key influences on the stratigraphic record in active volcanic arcs. </w:t>
      </w:r>
      <w:r>
        <w:rPr>
          <w:i/>
          <w:iCs/>
          <w:color w:val="000000"/>
          <w:sz w:val="20"/>
          <w:szCs w:val="20"/>
        </w:rPr>
        <w:t>Geological Society of America Special Papers</w:t>
      </w:r>
      <w:r>
        <w:rPr>
          <w:color w:val="000000"/>
          <w:sz w:val="20"/>
          <w:szCs w:val="20"/>
        </w:rPr>
        <w:t xml:space="preserve">, </w:t>
      </w:r>
      <w:r>
        <w:rPr>
          <w:b/>
          <w:bCs/>
          <w:color w:val="000000"/>
          <w:sz w:val="20"/>
          <w:szCs w:val="20"/>
        </w:rPr>
        <w:t>436</w:t>
      </w:r>
      <w:r>
        <w:rPr>
          <w:color w:val="000000"/>
          <w:sz w:val="20"/>
          <w:szCs w:val="20"/>
        </w:rPr>
        <w:t>, 27–54.</w:t>
      </w:r>
    </w:p>
    <w:p w14:paraId="455142A7" w14:textId="50B530CD" w:rsidR="00DD55F5" w:rsidRDefault="00DD55F5" w:rsidP="003A74E2">
      <w:pPr>
        <w:rPr>
          <w:color w:val="000000"/>
          <w:sz w:val="20"/>
          <w:szCs w:val="20"/>
        </w:rPr>
      </w:pPr>
      <w:r>
        <w:rPr>
          <w:color w:val="000000"/>
          <w:sz w:val="20"/>
          <w:szCs w:val="20"/>
        </w:rPr>
        <w:t xml:space="preserve">Huang, Q. H., Yang, J. G. and Kong, H. 2003. The Fangzheng Formation of the Fangzheng Rift in the Northeast of the Yilan–Yitong Rift Valley and its significance. </w:t>
      </w:r>
      <w:r>
        <w:rPr>
          <w:i/>
          <w:iCs/>
          <w:color w:val="000000"/>
          <w:sz w:val="20"/>
          <w:szCs w:val="20"/>
        </w:rPr>
        <w:t>Journal of Stratigraphy</w:t>
      </w:r>
      <w:r>
        <w:rPr>
          <w:color w:val="000000"/>
          <w:sz w:val="20"/>
          <w:szCs w:val="20"/>
        </w:rPr>
        <w:t xml:space="preserve">, </w:t>
      </w:r>
      <w:r>
        <w:rPr>
          <w:b/>
          <w:bCs/>
          <w:color w:val="000000"/>
          <w:sz w:val="20"/>
          <w:szCs w:val="20"/>
        </w:rPr>
        <w:t>27</w:t>
      </w:r>
      <w:r>
        <w:rPr>
          <w:color w:val="000000"/>
          <w:sz w:val="20"/>
          <w:szCs w:val="20"/>
        </w:rPr>
        <w:t>, 138–145 [in Chinese with English abstract].</w:t>
      </w:r>
    </w:p>
    <w:p w14:paraId="4DC6D64A" w14:textId="0EBE521E" w:rsidR="00DD55F5" w:rsidRDefault="00DD55F5" w:rsidP="003A74E2">
      <w:pPr>
        <w:rPr>
          <w:color w:val="000000"/>
          <w:sz w:val="20"/>
          <w:szCs w:val="20"/>
        </w:rPr>
      </w:pPr>
      <w:r>
        <w:rPr>
          <w:color w:val="000000"/>
          <w:sz w:val="20"/>
          <w:szCs w:val="20"/>
        </w:rPr>
        <w:t xml:space="preserve">Loke, M.H. 2004. </w:t>
      </w:r>
      <w:r>
        <w:rPr>
          <w:i/>
          <w:iCs/>
          <w:color w:val="000000"/>
          <w:sz w:val="20"/>
          <w:szCs w:val="20"/>
        </w:rPr>
        <w:t xml:space="preserve">RES2DINV </w:t>
      </w:r>
      <w:r>
        <w:rPr>
          <w:color w:val="000000"/>
          <w:sz w:val="20"/>
          <w:szCs w:val="20"/>
        </w:rPr>
        <w:t>version 3.54. Geotomo Software Sdn Bsd.</w:t>
      </w:r>
    </w:p>
    <w:p w14:paraId="521E1771" w14:textId="40A9D114" w:rsidR="00DD55F5" w:rsidRDefault="00DD55F5" w:rsidP="003A74E2">
      <w:pPr>
        <w:rPr>
          <w:color w:val="000000"/>
          <w:sz w:val="20"/>
          <w:szCs w:val="20"/>
        </w:rPr>
      </w:pPr>
      <w:r w:rsidRPr="00DD55F5">
        <w:rPr>
          <w:color w:val="000000"/>
          <w:sz w:val="20"/>
          <w:szCs w:val="20"/>
        </w:rPr>
        <w:t xml:space="preserve">López-Gamundí, O.R. and Villar, H. 2001. Source potential of lacustrine shales in linked asymmetric half-grabens, Cuyo rift basin (Triassic), west Argentina: an integrated sequence stratigraphic-geochemical approach. </w:t>
      </w:r>
      <w:r w:rsidRPr="00DD55F5">
        <w:rPr>
          <w:i/>
          <w:iCs/>
          <w:color w:val="000000"/>
          <w:sz w:val="20"/>
          <w:szCs w:val="20"/>
        </w:rPr>
        <w:t>In: New Technologies and New Play Concepts in Latin America</w:t>
      </w:r>
      <w:r w:rsidRPr="00DD55F5">
        <w:rPr>
          <w:color w:val="000000"/>
          <w:sz w:val="20"/>
          <w:szCs w:val="20"/>
        </w:rPr>
        <w:t>, AAPG Hedberg Conference, 5–9 November 2001, Mendoza, Argentina, Abstracts, 20–22</w:t>
      </w:r>
    </w:p>
    <w:p w14:paraId="6E9D5920" w14:textId="18A048C5" w:rsidR="00DD55F5" w:rsidRDefault="00DD55F5" w:rsidP="003A74E2">
      <w:r>
        <w:rPr>
          <w:color w:val="000000"/>
          <w:sz w:val="20"/>
          <w:szCs w:val="20"/>
        </w:rPr>
        <w:t xml:space="preserve">Norris, S., Neeft, E.A.C. and Van Geet, M. (eds) 2019. </w:t>
      </w:r>
      <w:r>
        <w:rPr>
          <w:i/>
          <w:iCs/>
          <w:color w:val="000000"/>
          <w:sz w:val="20"/>
          <w:szCs w:val="20"/>
        </w:rPr>
        <w:t>Multiple Roles of Clays in Radioactive Waste Confinement</w:t>
      </w:r>
      <w:r>
        <w:rPr>
          <w:color w:val="000000"/>
          <w:sz w:val="20"/>
          <w:szCs w:val="20"/>
        </w:rPr>
        <w:t xml:space="preserve">. Geological Society, London, Special Publications, </w:t>
      </w:r>
      <w:r>
        <w:rPr>
          <w:b/>
          <w:bCs/>
          <w:color w:val="000000"/>
          <w:sz w:val="20"/>
          <w:szCs w:val="20"/>
        </w:rPr>
        <w:t>482</w:t>
      </w:r>
      <w:r>
        <w:rPr>
          <w:color w:val="000000"/>
          <w:sz w:val="20"/>
          <w:szCs w:val="20"/>
        </w:rPr>
        <w:t xml:space="preserve">, </w:t>
      </w:r>
      <w:hyperlink r:id="rId7" w:history="1">
        <w:r>
          <w:rPr>
            <w:rStyle w:val="Hyperlink"/>
            <w:sz w:val="20"/>
            <w:szCs w:val="20"/>
          </w:rPr>
          <w:t>https://doi.org/10.1144/SP482</w:t>
        </w:r>
      </w:hyperlink>
    </w:p>
    <w:p w14:paraId="20916559" w14:textId="3661140D" w:rsidR="00DD55F5" w:rsidRDefault="00DD55F5" w:rsidP="00DD55F5">
      <w:pPr>
        <w:pStyle w:val="NormalWeb"/>
        <w:spacing w:before="120" w:beforeAutospacing="0" w:after="120" w:afterAutospacing="0"/>
        <w:rPr>
          <w:rFonts w:asciiTheme="minorHAnsi" w:hAnsiTheme="minorHAnsi" w:cstheme="minorHAnsi"/>
          <w:color w:val="000000"/>
          <w:sz w:val="20"/>
          <w:szCs w:val="20"/>
        </w:rPr>
      </w:pPr>
      <w:r w:rsidRPr="00DD55F5">
        <w:rPr>
          <w:rFonts w:asciiTheme="minorHAnsi" w:hAnsiTheme="minorHAnsi" w:cstheme="minorHAnsi"/>
          <w:color w:val="000000"/>
          <w:sz w:val="20"/>
          <w:szCs w:val="20"/>
        </w:rPr>
        <w:t xml:space="preserve">Pedley, H.M. 1993. </w:t>
      </w:r>
      <w:r w:rsidRPr="00DD55F5">
        <w:rPr>
          <w:rFonts w:asciiTheme="minorHAnsi" w:hAnsiTheme="minorHAnsi" w:cstheme="minorHAnsi"/>
          <w:i/>
          <w:iCs/>
          <w:color w:val="000000"/>
          <w:sz w:val="20"/>
          <w:szCs w:val="20"/>
        </w:rPr>
        <w:t>Geological Map of the Island of Malta, 1:25,000 scale</w:t>
      </w:r>
      <w:r w:rsidRPr="00DD55F5">
        <w:rPr>
          <w:rFonts w:asciiTheme="minorHAnsi" w:hAnsiTheme="minorHAnsi" w:cstheme="minorHAnsi"/>
          <w:color w:val="000000"/>
          <w:sz w:val="20"/>
          <w:szCs w:val="20"/>
        </w:rPr>
        <w:t>. British Geological Survey, Keyworth.</w:t>
      </w:r>
    </w:p>
    <w:p w14:paraId="454B17AE" w14:textId="4292F8B2" w:rsidR="00DD55F5" w:rsidRPr="00DD55F5" w:rsidRDefault="00DD55F5" w:rsidP="00DD55F5">
      <w:pPr>
        <w:pStyle w:val="NormalWeb"/>
        <w:spacing w:before="120" w:beforeAutospacing="0" w:after="120" w:afterAutospacing="0"/>
        <w:rPr>
          <w:rFonts w:asciiTheme="minorHAnsi" w:hAnsiTheme="minorHAnsi" w:cstheme="minorHAnsi"/>
          <w:sz w:val="20"/>
          <w:szCs w:val="20"/>
        </w:rPr>
      </w:pPr>
      <w:r w:rsidRPr="00DD55F5">
        <w:rPr>
          <w:rFonts w:asciiTheme="minorHAnsi" w:hAnsiTheme="minorHAnsi" w:cstheme="minorHAnsi"/>
          <w:color w:val="000000"/>
          <w:sz w:val="20"/>
          <w:szCs w:val="20"/>
        </w:rPr>
        <w:t xml:space="preserve">Roda, M., Zucali, M., Li, Z-X., Spalla, M.I. and Yao, W. 2018. Pre-Alpine contrasting tectono-metamorphic evolutions within the Southern Steep Belt, Central Alps [Preprint]. </w:t>
      </w:r>
      <w:r w:rsidRPr="00DD55F5">
        <w:rPr>
          <w:rFonts w:asciiTheme="minorHAnsi" w:hAnsiTheme="minorHAnsi" w:cstheme="minorHAnsi"/>
          <w:i/>
          <w:iCs/>
          <w:color w:val="000000"/>
          <w:sz w:val="20"/>
          <w:szCs w:val="20"/>
        </w:rPr>
        <w:t>EarthArXiv</w:t>
      </w:r>
      <w:r w:rsidRPr="00DD55F5">
        <w:rPr>
          <w:rFonts w:asciiTheme="minorHAnsi" w:hAnsiTheme="minorHAnsi" w:cstheme="minorHAnsi"/>
          <w:color w:val="000000"/>
          <w:sz w:val="20"/>
          <w:szCs w:val="20"/>
        </w:rPr>
        <w:t xml:space="preserve">, </w:t>
      </w:r>
      <w:hyperlink r:id="rId8" w:history="1">
        <w:r w:rsidRPr="00DD55F5">
          <w:rPr>
            <w:rStyle w:val="Hyperlink"/>
            <w:rFonts w:asciiTheme="minorHAnsi" w:hAnsiTheme="minorHAnsi" w:cstheme="minorHAnsi"/>
            <w:color w:val="000000"/>
            <w:sz w:val="20"/>
            <w:szCs w:val="20"/>
          </w:rPr>
          <w:t>http://eartharxiv.org/q76tz/</w:t>
        </w:r>
      </w:hyperlink>
      <w:r w:rsidRPr="00DD55F5">
        <w:rPr>
          <w:rFonts w:asciiTheme="minorHAnsi" w:hAnsiTheme="minorHAnsi" w:cstheme="minorHAnsi"/>
          <w:color w:val="000000"/>
          <w:sz w:val="20"/>
          <w:szCs w:val="20"/>
        </w:rPr>
        <w:t xml:space="preserve"> [last accessed 5 May 2018].</w:t>
      </w:r>
    </w:p>
    <w:p w14:paraId="4AE44D17" w14:textId="02D876C6" w:rsidR="00F6531A" w:rsidRDefault="00F6531A" w:rsidP="003A74E2">
      <w:r>
        <w:rPr>
          <w:smallCaps/>
          <w:color w:val="000000"/>
          <w:sz w:val="20"/>
          <w:szCs w:val="20"/>
        </w:rPr>
        <w:t>S</w:t>
      </w:r>
      <w:r>
        <w:rPr>
          <w:color w:val="000000"/>
          <w:sz w:val="20"/>
          <w:szCs w:val="20"/>
        </w:rPr>
        <w:t>chofield, N., Heaton, L., Holford, S.P., Archer, S.G., Jackson, C.A.-L. and Jolley, D.W. 2012. Seismic imaging of ‘'broken bridges’: linking seismic to outcrop-scale investigations of intrusive magma lobes.</w:t>
      </w:r>
      <w:r>
        <w:rPr>
          <w:b/>
          <w:bCs/>
          <w:color w:val="000000"/>
          <w:sz w:val="20"/>
          <w:szCs w:val="20"/>
        </w:rPr>
        <w:t xml:space="preserve"> </w:t>
      </w:r>
      <w:r>
        <w:rPr>
          <w:i/>
          <w:iCs/>
          <w:color w:val="000000"/>
          <w:sz w:val="20"/>
          <w:szCs w:val="20"/>
        </w:rPr>
        <w:t xml:space="preserve">Journal of the Geological Society, London, </w:t>
      </w:r>
      <w:r>
        <w:rPr>
          <w:b/>
          <w:bCs/>
          <w:color w:val="000000"/>
          <w:sz w:val="20"/>
          <w:szCs w:val="20"/>
        </w:rPr>
        <w:t>169</w:t>
      </w:r>
      <w:r>
        <w:rPr>
          <w:color w:val="000000"/>
          <w:sz w:val="20"/>
          <w:szCs w:val="20"/>
        </w:rPr>
        <w:t xml:space="preserve">, 421–426, </w:t>
      </w:r>
      <w:hyperlink r:id="rId9" w:history="1">
        <w:r>
          <w:rPr>
            <w:rStyle w:val="Hyperlink"/>
            <w:sz w:val="20"/>
            <w:szCs w:val="20"/>
          </w:rPr>
          <w:t>https://doi.org/10.1144/0016-76492011-150</w:t>
        </w:r>
      </w:hyperlink>
    </w:p>
    <w:p w14:paraId="25A3D685" w14:textId="19696976" w:rsidR="00DD55F5" w:rsidRDefault="00DD55F5" w:rsidP="003A74E2"/>
    <w:p w14:paraId="7BFF8FBB" w14:textId="0DF551D6" w:rsidR="00DD55F5" w:rsidRPr="00E20120" w:rsidRDefault="00E20120" w:rsidP="003A74E2">
      <w:pPr>
        <w:rPr>
          <w:b/>
          <w:bCs/>
        </w:rPr>
      </w:pPr>
      <w:r w:rsidRPr="00E20120">
        <w:rPr>
          <w:b/>
          <w:bCs/>
        </w:rPr>
        <w:t>Tables</w:t>
      </w:r>
    </w:p>
    <w:p w14:paraId="17513FB5" w14:textId="13C4DBA3" w:rsidR="00E20120" w:rsidRDefault="00E20120" w:rsidP="003A74E2">
      <w:r>
        <w:t>For submission, tables can be placed at the end of the text or as a separate file</w:t>
      </w:r>
    </w:p>
    <w:p w14:paraId="022AA9C6" w14:textId="39BFD531" w:rsidR="00E20120" w:rsidRDefault="00E20120" w:rsidP="003A74E2"/>
    <w:p w14:paraId="0F627E7D" w14:textId="2C2C8CEA" w:rsidR="00E20120" w:rsidRPr="00E20120" w:rsidRDefault="00E20120" w:rsidP="003A74E2">
      <w:pPr>
        <w:rPr>
          <w:b/>
          <w:bCs/>
        </w:rPr>
      </w:pPr>
      <w:r w:rsidRPr="00E20120">
        <w:rPr>
          <w:b/>
          <w:bCs/>
        </w:rPr>
        <w:t>Figure captions</w:t>
      </w:r>
    </w:p>
    <w:p w14:paraId="4426AC06" w14:textId="3476364C" w:rsidR="00E20120" w:rsidRPr="008F3C7E" w:rsidRDefault="00E20120" w:rsidP="003A74E2">
      <w:r>
        <w:t>For submission, figures should be uploaded separately. Figure captions can be uploaded with each figure or as a list at the end of the text document</w:t>
      </w:r>
      <w:r w:rsidR="001045DE">
        <w:t xml:space="preserve">. Please explain any abbreviations or acronyms used on the figures within the caption. Please ensure you have permission to use any figures taken from or modified from another publication. More information can be found here: </w:t>
      </w:r>
      <w:hyperlink r:id="rId10" w:history="1">
        <w:r w:rsidR="001045DE" w:rsidRPr="00744985">
          <w:rPr>
            <w:rStyle w:val="Hyperlink"/>
          </w:rPr>
          <w:t>https://www.geolsoc.org.uk/~/media/shared/documents/publications/Author%20Top%20tips/Top%20Tips%20from%20the%20Production%20Team%2006082019.pdf?la=en</w:t>
        </w:r>
      </w:hyperlink>
      <w:r w:rsidR="001045DE">
        <w:t xml:space="preserve"> </w:t>
      </w:r>
    </w:p>
    <w:sectPr w:rsidR="00E20120" w:rsidRPr="008F3C7E" w:rsidSect="00E20120">
      <w:pgSz w:w="12240" w:h="15840"/>
      <w:pgMar w:top="1440" w:right="1440" w:bottom="1440" w:left="1440" w:header="720" w:footer="720" w:gutter="0"/>
      <w:lnNumType w:countBy="1" w:restart="continuou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FF641" w16cex:dateUtc="2020-11-06T16:20:00Z"/>
  <w16cex:commentExtensible w16cex:durableId="234FF68E" w16cex:dateUtc="2020-11-06T16:21:00Z"/>
  <w16cex:commentExtensible w16cex:durableId="234FF717" w16cex:dateUtc="2020-11-06T16:23:00Z"/>
  <w16cex:commentExtensible w16cex:durableId="234FF6FC" w16cex:dateUtc="2020-11-06T16:23:00Z"/>
  <w16cex:commentExtensible w16cex:durableId="234FF72B" w16cex:dateUtc="2020-11-06T16:24:00Z"/>
  <w16cex:commentExtensible w16cex:durableId="234FF7EB" w16cex:dateUtc="2020-11-06T16:27:00Z"/>
  <w16cex:commentExtensible w16cex:durableId="234FF76A" w16cex:dateUtc="2020-11-06T16:25:00Z"/>
  <w16cex:commentExtensible w16cex:durableId="234FF86B" w16cex:dateUtc="2020-11-06T16:29: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7291"/>
    <w:multiLevelType w:val="hybridMultilevel"/>
    <w:tmpl w:val="EF9481A2"/>
    <w:lvl w:ilvl="0" w:tplc="966C423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C68CB"/>
    <w:multiLevelType w:val="hybridMultilevel"/>
    <w:tmpl w:val="FACC0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90A05"/>
    <w:multiLevelType w:val="hybridMultilevel"/>
    <w:tmpl w:val="0F743EF8"/>
    <w:lvl w:ilvl="0" w:tplc="966C4238">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31"/>
    <w:rsid w:val="000C7A61"/>
    <w:rsid w:val="001045DE"/>
    <w:rsid w:val="003A74E2"/>
    <w:rsid w:val="003D41AD"/>
    <w:rsid w:val="003D5588"/>
    <w:rsid w:val="0051264D"/>
    <w:rsid w:val="006F0185"/>
    <w:rsid w:val="006F57FF"/>
    <w:rsid w:val="008A4DC6"/>
    <w:rsid w:val="008C39B3"/>
    <w:rsid w:val="008F3C7E"/>
    <w:rsid w:val="009E3278"/>
    <w:rsid w:val="00C173A2"/>
    <w:rsid w:val="00C81C09"/>
    <w:rsid w:val="00D51D31"/>
    <w:rsid w:val="00DD55F5"/>
    <w:rsid w:val="00E0470C"/>
    <w:rsid w:val="00E20120"/>
    <w:rsid w:val="00E7251A"/>
    <w:rsid w:val="00F65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DFD73"/>
  <w15:chartTrackingRefBased/>
  <w15:docId w15:val="{2C139C0A-82FF-4E75-AC29-05B08350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1D31"/>
    <w:rPr>
      <w:color w:val="0000FF" w:themeColor="hyperlink"/>
      <w:u w:val="single"/>
    </w:rPr>
  </w:style>
  <w:style w:type="character" w:styleId="UnresolvedMention">
    <w:name w:val="Unresolved Mention"/>
    <w:basedOn w:val="DefaultParagraphFont"/>
    <w:uiPriority w:val="99"/>
    <w:semiHidden/>
    <w:unhideWhenUsed/>
    <w:rsid w:val="00D51D31"/>
    <w:rPr>
      <w:color w:val="605E5C"/>
      <w:shd w:val="clear" w:color="auto" w:fill="E1DFDD"/>
    </w:rPr>
  </w:style>
  <w:style w:type="paragraph" w:styleId="ListParagraph">
    <w:name w:val="List Paragraph"/>
    <w:basedOn w:val="Normal"/>
    <w:uiPriority w:val="34"/>
    <w:qFormat/>
    <w:rsid w:val="003A74E2"/>
    <w:pPr>
      <w:ind w:left="720"/>
      <w:contextualSpacing/>
    </w:pPr>
  </w:style>
  <w:style w:type="paragraph" w:styleId="NormalWeb">
    <w:name w:val="Normal (Web)"/>
    <w:basedOn w:val="Normal"/>
    <w:uiPriority w:val="99"/>
    <w:semiHidden/>
    <w:unhideWhenUsed/>
    <w:rsid w:val="00DD55F5"/>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E20120"/>
  </w:style>
  <w:style w:type="paragraph" w:styleId="BalloonText">
    <w:name w:val="Balloon Text"/>
    <w:basedOn w:val="Normal"/>
    <w:link w:val="BalloonTextChar"/>
    <w:uiPriority w:val="99"/>
    <w:semiHidden/>
    <w:unhideWhenUsed/>
    <w:rsid w:val="003D4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1AD"/>
    <w:rPr>
      <w:rFonts w:ascii="Segoe UI" w:hAnsi="Segoe UI" w:cs="Segoe UI"/>
      <w:sz w:val="18"/>
      <w:szCs w:val="18"/>
    </w:rPr>
  </w:style>
  <w:style w:type="character" w:styleId="CommentReference">
    <w:name w:val="annotation reference"/>
    <w:basedOn w:val="DefaultParagraphFont"/>
    <w:uiPriority w:val="99"/>
    <w:semiHidden/>
    <w:unhideWhenUsed/>
    <w:rsid w:val="008A4DC6"/>
    <w:rPr>
      <w:sz w:val="16"/>
      <w:szCs w:val="16"/>
    </w:rPr>
  </w:style>
  <w:style w:type="paragraph" w:styleId="CommentText">
    <w:name w:val="annotation text"/>
    <w:basedOn w:val="Normal"/>
    <w:link w:val="CommentTextChar"/>
    <w:uiPriority w:val="99"/>
    <w:semiHidden/>
    <w:unhideWhenUsed/>
    <w:rsid w:val="008A4DC6"/>
    <w:pPr>
      <w:spacing w:line="240" w:lineRule="auto"/>
    </w:pPr>
    <w:rPr>
      <w:sz w:val="20"/>
      <w:szCs w:val="20"/>
    </w:rPr>
  </w:style>
  <w:style w:type="character" w:customStyle="1" w:styleId="CommentTextChar">
    <w:name w:val="Comment Text Char"/>
    <w:basedOn w:val="DefaultParagraphFont"/>
    <w:link w:val="CommentText"/>
    <w:uiPriority w:val="99"/>
    <w:semiHidden/>
    <w:rsid w:val="008A4DC6"/>
    <w:rPr>
      <w:sz w:val="20"/>
      <w:szCs w:val="20"/>
    </w:rPr>
  </w:style>
  <w:style w:type="paragraph" w:styleId="CommentSubject">
    <w:name w:val="annotation subject"/>
    <w:basedOn w:val="CommentText"/>
    <w:next w:val="CommentText"/>
    <w:link w:val="CommentSubjectChar"/>
    <w:uiPriority w:val="99"/>
    <w:semiHidden/>
    <w:unhideWhenUsed/>
    <w:rsid w:val="008A4DC6"/>
    <w:rPr>
      <w:b/>
      <w:bCs/>
    </w:rPr>
  </w:style>
  <w:style w:type="character" w:customStyle="1" w:styleId="CommentSubjectChar">
    <w:name w:val="Comment Subject Char"/>
    <w:basedOn w:val="CommentTextChar"/>
    <w:link w:val="CommentSubject"/>
    <w:uiPriority w:val="99"/>
    <w:semiHidden/>
    <w:rsid w:val="008A4D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732207">
      <w:bodyDiv w:val="1"/>
      <w:marLeft w:val="0"/>
      <w:marRight w:val="0"/>
      <w:marTop w:val="0"/>
      <w:marBottom w:val="0"/>
      <w:divBdr>
        <w:top w:val="none" w:sz="0" w:space="0" w:color="auto"/>
        <w:left w:val="none" w:sz="0" w:space="0" w:color="auto"/>
        <w:bottom w:val="none" w:sz="0" w:space="0" w:color="auto"/>
        <w:right w:val="none" w:sz="0" w:space="0" w:color="auto"/>
      </w:divBdr>
    </w:div>
    <w:div w:id="893009239">
      <w:bodyDiv w:val="1"/>
      <w:marLeft w:val="0"/>
      <w:marRight w:val="0"/>
      <w:marTop w:val="0"/>
      <w:marBottom w:val="0"/>
      <w:divBdr>
        <w:top w:val="none" w:sz="0" w:space="0" w:color="auto"/>
        <w:left w:val="none" w:sz="0" w:space="0" w:color="auto"/>
        <w:bottom w:val="none" w:sz="0" w:space="0" w:color="auto"/>
        <w:right w:val="none" w:sz="0" w:space="0" w:color="auto"/>
      </w:divBdr>
    </w:div>
    <w:div w:id="170139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rtharxiv.org/q76tz/"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doi.org/10.1144/SP48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lsoc.org.uk/author_instructions" TargetMode="External"/><Relationship Id="rId11" Type="http://schemas.openxmlformats.org/officeDocument/2006/relationships/fontTable" Target="fontTable.xml"/><Relationship Id="rId5" Type="http://schemas.openxmlformats.org/officeDocument/2006/relationships/hyperlink" Target="mailto:second.author@university.com" TargetMode="External"/><Relationship Id="rId10" Type="http://schemas.openxmlformats.org/officeDocument/2006/relationships/hyperlink" Target="https://www.geolsoc.org.uk/~/media/shared/documents/publications/Author%20Top%20tips/Top%20Tips%20from%20the%20Production%20Team%2006082019.pdf?la=en" TargetMode="External"/><Relationship Id="rId4" Type="http://schemas.openxmlformats.org/officeDocument/2006/relationships/webSettings" Target="webSettings.xml"/><Relationship Id="rId9" Type="http://schemas.openxmlformats.org/officeDocument/2006/relationships/hyperlink" Target="https://doi.org/10.1144/0016-76492011-1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Pantos</dc:creator>
  <cp:keywords/>
  <dc:description/>
  <cp:lastModifiedBy>Patricia Pantos</cp:lastModifiedBy>
  <cp:revision>3</cp:revision>
  <dcterms:created xsi:type="dcterms:W3CDTF">2020-11-11T13:40:00Z</dcterms:created>
  <dcterms:modified xsi:type="dcterms:W3CDTF">2020-11-13T11:09:00Z</dcterms:modified>
</cp:coreProperties>
</file>